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2D3993" w:rsidRPr="00FD542B" w:rsidTr="003525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2D3993" w:rsidRPr="00FD542B" w:rsidRDefault="002D3993" w:rsidP="00EF2DDA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bookmarkStart w:id="1" w:name="_GoBack"/>
            <w:r w:rsidRPr="00FD542B">
              <w:rPr>
                <w:color w:val="000000" w:themeColor="text1"/>
              </w:rPr>
              <w:t>[Дата регистрации] № [Номер</w:t>
            </w:r>
            <w:r w:rsidRPr="00FD542B">
              <w:rPr>
                <w:color w:val="000000" w:themeColor="text1"/>
                <w:sz w:val="20"/>
              </w:rPr>
              <w:t xml:space="preserve"> документа</w:t>
            </w:r>
            <w:r w:rsidRPr="00FD542B">
              <w:rPr>
                <w:color w:val="000000" w:themeColor="text1"/>
              </w:rPr>
              <w:t>]</w:t>
            </w:r>
            <w:bookmarkEnd w:id="0"/>
          </w:p>
        </w:tc>
      </w:tr>
      <w:tr w:rsidR="002D3993" w:rsidRPr="00FD542B" w:rsidTr="003525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</w:tr>
      <w:tr w:rsidR="002D3993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  <w:bookmarkEnd w:id="1"/>
    </w:tbl>
    <w:p w:rsidR="00E73F96" w:rsidRDefault="00E73F96"/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E73F96" w:rsidRDefault="000962E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</w:t>
      </w:r>
      <w:r>
        <w:rPr>
          <w:sz w:val="28"/>
        </w:rPr>
        <w:br/>
        <w:t>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E73F96" w:rsidRDefault="000962E1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E73F96" w:rsidRDefault="000962E1">
      <w:pPr>
        <w:pStyle w:val="a4"/>
        <w:ind w:firstLine="708"/>
      </w:pPr>
      <w:r>
        <w:t>Доверенность действительна по 31 декабря 2023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Pr="003D49FC" w:rsidRDefault="000962E1" w:rsidP="003D49FC">
            <w:pPr>
              <w:rPr>
                <w:color w:val="FFFFFF" w:themeColor="background1"/>
              </w:rPr>
            </w:pPr>
            <w:bookmarkStart w:id="2" w:name="SIGNERSTAMP1"/>
            <w:r w:rsidRPr="003D49FC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962E1"/>
    <w:rsid w:val="002D3993"/>
    <w:rsid w:val="0035253A"/>
    <w:rsid w:val="003D49FC"/>
    <w:rsid w:val="005570AE"/>
    <w:rsid w:val="00633020"/>
    <w:rsid w:val="00E73F96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9</cp:revision>
  <dcterms:created xsi:type="dcterms:W3CDTF">2024-03-27T04:46:00Z</dcterms:created>
  <dcterms:modified xsi:type="dcterms:W3CDTF">2025-01-31T02:57:00Z</dcterms:modified>
</cp:coreProperties>
</file>